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98" w:rsidRDefault="00C54B98">
      <w:pPr>
        <w:pStyle w:val="En-tte"/>
        <w:tabs>
          <w:tab w:val="clear" w:pos="4536"/>
          <w:tab w:val="clear" w:pos="9072"/>
        </w:tabs>
        <w:jc w:val="center"/>
      </w:pPr>
      <w:bookmarkStart w:id="0" w:name="_GoBack"/>
      <w:bookmarkEnd w:id="0"/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>Demande de patronage de l'UNESCO</w:t>
      </w: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proofErr w:type="gramStart"/>
      <w:r>
        <w:t>pour</w:t>
      </w:r>
      <w:proofErr w:type="gramEnd"/>
      <w:r>
        <w:t xml:space="preserve"> le bicentenaire de la naissance d'Ivan </w:t>
      </w:r>
      <w:proofErr w:type="spellStart"/>
      <w:r>
        <w:t>Tourguéniev</w:t>
      </w:r>
      <w:proofErr w:type="spellEnd"/>
      <w:r>
        <w:t xml:space="preserve"> en 2018</w:t>
      </w: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</w:pP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 xml:space="preserve">Thème général : « Ivan </w:t>
      </w:r>
      <w:proofErr w:type="spellStart"/>
      <w:r>
        <w:t>Tourguéniev</w:t>
      </w:r>
      <w:proofErr w:type="spellEnd"/>
      <w:r>
        <w:t>, homme de paix »</w:t>
      </w: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</w:pP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>Programme prévisionnel de l'</w:t>
      </w:r>
      <w:r>
        <w:t>année 2018</w:t>
      </w: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</w:pP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Organisation : Association des Amis d'Ivan </w:t>
      </w:r>
      <w:proofErr w:type="spellStart"/>
      <w:r>
        <w:t>Tourguéniev</w:t>
      </w:r>
      <w:proofErr w:type="spellEnd"/>
      <w:r>
        <w:t xml:space="preserve">, Pauline </w:t>
      </w:r>
      <w:proofErr w:type="spellStart"/>
      <w:r>
        <w:t>Viardot</w:t>
      </w:r>
      <w:proofErr w:type="spellEnd"/>
      <w:r>
        <w:t xml:space="preserve"> et Maria Malibran (A.T.V.M.), créée en 1977 (J.O. Du 5 février 1977)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ab/>
      </w:r>
      <w:r>
        <w:tab/>
        <w:t xml:space="preserve">Musée Européen Ivan </w:t>
      </w:r>
      <w:proofErr w:type="spellStart"/>
      <w:r>
        <w:t>Tourguéniev</w:t>
      </w:r>
      <w:proofErr w:type="spellEnd"/>
      <w:r>
        <w:t xml:space="preserve"> de Bougival, créé le 3 septembre 1983 par l'A.T.V.M. Pour le centenai</w:t>
      </w:r>
      <w:r>
        <w:t>re de la mort de l'écrivain in situ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ab/>
      </w:r>
      <w:r>
        <w:tab/>
        <w:t>Centre International des cultures et littératures du XIXe siècle, placé sous le patronage de l'Université de Paris-Sorbonne, créé in situ pour le centenaire de la mort de l'écrivain le 3 septembre 1983</w:t>
      </w: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  <w:r>
        <w:rPr>
          <w:i/>
          <w:iCs/>
        </w:rPr>
        <w:t>EXPOSITION</w:t>
      </w: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>Avr</w:t>
      </w:r>
      <w:r>
        <w:t>il-novembre 2018</w:t>
      </w: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proofErr w:type="gramStart"/>
      <w:r>
        <w:t>au</w:t>
      </w:r>
      <w:proofErr w:type="gramEnd"/>
      <w:r>
        <w:t xml:space="preserve"> Musée Européen Ivan </w:t>
      </w:r>
      <w:proofErr w:type="spellStart"/>
      <w:r>
        <w:t>Tourguéniev</w:t>
      </w:r>
      <w:proofErr w:type="spellEnd"/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</w:pP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I. Ivan </w:t>
      </w:r>
      <w:proofErr w:type="spellStart"/>
      <w:r>
        <w:t>Tourguéniev</w:t>
      </w:r>
      <w:proofErr w:type="spellEnd"/>
      <w:r>
        <w:t> : l'homme de bien</w:t>
      </w: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1. Dans la Salle des Droits de l'Homme :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ab/>
        <w:t xml:space="preserve">Le combat de </w:t>
      </w:r>
      <w:proofErr w:type="spellStart"/>
      <w:r>
        <w:t>Tourguéniev</w:t>
      </w:r>
      <w:proofErr w:type="spellEnd"/>
      <w:r>
        <w:t xml:space="preserve"> contre les injustices de son temps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a) Le servage en Russie : l'impact des </w:t>
      </w:r>
      <w:r>
        <w:rPr>
          <w:i/>
          <w:iCs/>
        </w:rPr>
        <w:t>Mémoires d'un chasseur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b) L'esclavage en Amérique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c) la peine de mort et les exécutions capitales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d) les excès de la révolution et la foi dans l'évolution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e) l'antisémitisme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f) la guerre et la torture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g) En marge : l'esclavage et le servage moderne. Dossier établi par la fondat</w:t>
      </w:r>
      <w:r>
        <w:t xml:space="preserve">rice de la Salle des Droits de l'Homme, Françoise </w:t>
      </w:r>
      <w:proofErr w:type="spellStart"/>
      <w:r>
        <w:t>Sabatié</w:t>
      </w:r>
      <w:proofErr w:type="spellEnd"/>
      <w:r>
        <w:t xml:space="preserve"> (1944-2008)</w:t>
      </w: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II. Ivan </w:t>
      </w:r>
      <w:proofErr w:type="spellStart"/>
      <w:r>
        <w:t>Tourguéniev</w:t>
      </w:r>
      <w:proofErr w:type="spellEnd"/>
      <w:r>
        <w:t>, protecteur des arts et des lettres</w:t>
      </w: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2. Dans le Salon de musique</w:t>
      </w: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a) </w:t>
      </w:r>
      <w:proofErr w:type="spellStart"/>
      <w:r>
        <w:t>Tourguéniev</w:t>
      </w:r>
      <w:proofErr w:type="spellEnd"/>
      <w:r>
        <w:t xml:space="preserve"> et les compositeurs de son temps : du piano-forte de Brahms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(</w:t>
      </w:r>
      <w:proofErr w:type="gramStart"/>
      <w:r>
        <w:t>instrument</w:t>
      </w:r>
      <w:proofErr w:type="gramEnd"/>
      <w:r>
        <w:t xml:space="preserve"> classé</w:t>
      </w:r>
      <w:r>
        <w:t xml:space="preserve"> par l'Etat) à </w:t>
      </w:r>
      <w:proofErr w:type="spellStart"/>
      <w:r>
        <w:t>Tchaïkovsky</w:t>
      </w:r>
      <w:proofErr w:type="spellEnd"/>
      <w:r>
        <w:t xml:space="preserve"> et Debussy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b) </w:t>
      </w:r>
      <w:proofErr w:type="spellStart"/>
      <w:r>
        <w:t>Tourguéniev</w:t>
      </w:r>
      <w:proofErr w:type="spellEnd"/>
      <w:r>
        <w:t xml:space="preserve"> et les écrivains de son temps : de Mérimée à Flaubert et Maupassant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c) </w:t>
      </w:r>
      <w:proofErr w:type="spellStart"/>
      <w:r>
        <w:t>Tourguéniev</w:t>
      </w:r>
      <w:proofErr w:type="spellEnd"/>
      <w:r>
        <w:t xml:space="preserve"> et les peintres de son temps. Le mécène et le collectionneur de paysages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d) </w:t>
      </w:r>
      <w:proofErr w:type="spellStart"/>
      <w:r>
        <w:t>Tourguéniev</w:t>
      </w:r>
      <w:proofErr w:type="spellEnd"/>
      <w:r>
        <w:t xml:space="preserve">, homme public : le fondateur de </w:t>
      </w:r>
      <w:r>
        <w:t>la Bibliothèque Russe de Paris (1875), conservée jusqu'à nos jours ; le précurseur de la loi française de 1901 sur les associations, rédacteur des statuts de la « Société mutualiste d'aide et de bienfaisance pour les artistes russes de Paris » (1877)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e) Le</w:t>
      </w:r>
      <w:r>
        <w:t xml:space="preserve"> roman </w:t>
      </w:r>
      <w:r>
        <w:rPr>
          <w:i/>
          <w:iCs/>
        </w:rPr>
        <w:t>A la veille</w:t>
      </w:r>
      <w:r>
        <w:t xml:space="preserve"> (1860) et la place de l'art dans l'éducation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f) Le retentissement du </w:t>
      </w:r>
      <w:r>
        <w:rPr>
          <w:i/>
          <w:iCs/>
        </w:rPr>
        <w:t>Croquet à Windsor</w:t>
      </w:r>
      <w:r>
        <w:t xml:space="preserve"> (1876) : un message de paix en pleine guerre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g) Le spectre du terrorisme dans </w:t>
      </w:r>
      <w:r>
        <w:rPr>
          <w:i/>
          <w:iCs/>
        </w:rPr>
        <w:t>Pères et fils, Etrange histoire, Le chien.</w:t>
      </w:r>
    </w:p>
    <w:p w:rsidR="00C54B98" w:rsidRDefault="00C54B98">
      <w:pPr>
        <w:pStyle w:val="En-tte"/>
        <w:tabs>
          <w:tab w:val="clear" w:pos="4536"/>
          <w:tab w:val="clear" w:pos="9072"/>
        </w:tabs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  <w:rPr>
          <w:i/>
          <w:iCs/>
        </w:rPr>
      </w:pPr>
      <w:r>
        <w:rPr>
          <w:i/>
          <w:iCs/>
        </w:rPr>
        <w:t xml:space="preserve">COLLOQUE </w:t>
      </w:r>
      <w:r>
        <w:rPr>
          <w:i/>
          <w:iCs/>
        </w:rPr>
        <w:t>INTERNATIONAL</w:t>
      </w: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 xml:space="preserve">Ivan </w:t>
      </w:r>
      <w:proofErr w:type="spellStart"/>
      <w:r>
        <w:t>Tourguéniev</w:t>
      </w:r>
      <w:proofErr w:type="spellEnd"/>
      <w:r>
        <w:t>, homme de paix</w:t>
      </w: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</w:pP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>9-11 novembre 2018</w:t>
      </w: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>Paris, en Sorbonne et au Sénat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 9 novembre 2018 – 200e anniversaire de la naissance d'Ivan à Orel</w:t>
      </w: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>La formation de l'humaniste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a) L'enfance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b) L'adolescence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c) La jeunesse</w:t>
      </w: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>10 novembre 2018</w:t>
      </w: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>L'apôtre du bien et du beau</w:t>
      </w: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1. Le libérateur des moujiks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2. Le défenseur des pauvres et des opprimés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3. Le protecteur des arts et des lettres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4. L'Européen</w:t>
      </w:r>
    </w:p>
    <w:p w:rsidR="00C54B98" w:rsidRDefault="00C54B98">
      <w:pPr>
        <w:pStyle w:val="En-tte"/>
        <w:tabs>
          <w:tab w:val="clear" w:pos="4536"/>
          <w:tab w:val="clear" w:pos="9072"/>
        </w:tabs>
      </w:pPr>
    </w:p>
    <w:p w:rsidR="00C54B98" w:rsidRDefault="001621CA">
      <w:pPr>
        <w:pStyle w:val="En-tte"/>
        <w:tabs>
          <w:tab w:val="clear" w:pos="4536"/>
          <w:tab w:val="clear" w:pos="9072"/>
        </w:tabs>
        <w:jc w:val="center"/>
      </w:pPr>
      <w:r>
        <w:t>11 novembre 2018 – Centenaire de l'Armistice</w:t>
      </w:r>
    </w:p>
    <w:p w:rsidR="00C54B98" w:rsidRDefault="00C54B98">
      <w:pPr>
        <w:pStyle w:val="En-tte"/>
        <w:tabs>
          <w:tab w:val="clear" w:pos="4536"/>
          <w:tab w:val="clear" w:pos="9072"/>
        </w:tabs>
        <w:jc w:val="center"/>
      </w:pP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1. </w:t>
      </w:r>
      <w:proofErr w:type="spellStart"/>
      <w:r>
        <w:t>Tourguéniev</w:t>
      </w:r>
      <w:proofErr w:type="spellEnd"/>
      <w:r>
        <w:t xml:space="preserve"> et la guerre de Crimée (1854-1856)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2. </w:t>
      </w:r>
      <w:proofErr w:type="spellStart"/>
      <w:r>
        <w:t>Tourguéniev</w:t>
      </w:r>
      <w:proofErr w:type="spellEnd"/>
      <w:r>
        <w:t xml:space="preserve"> et la guerre avec la Prusse (1870-1871)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 xml:space="preserve">3. </w:t>
      </w:r>
      <w:proofErr w:type="spellStart"/>
      <w:r>
        <w:t>Tourguéniev</w:t>
      </w:r>
      <w:proofErr w:type="spellEnd"/>
      <w:r>
        <w:t xml:space="preserve"> et la guerre russo-turque (1876-1878)</w:t>
      </w:r>
    </w:p>
    <w:p w:rsidR="00C54B98" w:rsidRDefault="001621CA">
      <w:pPr>
        <w:pStyle w:val="En-tte"/>
        <w:tabs>
          <w:tab w:val="clear" w:pos="4536"/>
          <w:tab w:val="clear" w:pos="9072"/>
        </w:tabs>
      </w:pPr>
      <w:r>
        <w:t>4. La paix, ce maître mot</w:t>
      </w:r>
    </w:p>
    <w:sectPr w:rsidR="00C54B98">
      <w:headerReference w:type="default" r:id="rId7"/>
      <w:footerReference w:type="default" r:id="rId8"/>
      <w:pgSz w:w="12240" w:h="15840"/>
      <w:pgMar w:top="523" w:right="1418" w:bottom="877" w:left="1418" w:header="467" w:footer="8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CA" w:rsidRDefault="001621CA">
      <w:r>
        <w:separator/>
      </w:r>
    </w:p>
  </w:endnote>
  <w:endnote w:type="continuationSeparator" w:id="0">
    <w:p w:rsidR="001621CA" w:rsidRDefault="0016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4B" w:rsidRDefault="001621CA">
    <w:pPr>
      <w:pStyle w:val="Pieddepage"/>
      <w:jc w:val="center"/>
      <w:rPr>
        <w:rFonts w:ascii="Lucida Sans" w:hAnsi="Lucida Sans" w:cs="Lucida Sans"/>
        <w:b w:val="0"/>
        <w:i/>
        <w:color w:val="0000FF"/>
        <w:sz w:val="18"/>
        <w:szCs w:val="18"/>
      </w:rPr>
    </w:pPr>
  </w:p>
  <w:p w:rsidR="0029064B" w:rsidRDefault="001621CA">
    <w:pPr>
      <w:pStyle w:val="Pieddepage"/>
      <w:jc w:val="center"/>
      <w:rPr>
        <w:b w:val="0"/>
        <w:color w:val="0000FF"/>
        <w:sz w:val="18"/>
        <w:szCs w:val="18"/>
      </w:rPr>
    </w:pPr>
    <w:r>
      <w:rPr>
        <w:b w:val="0"/>
        <w:color w:val="0000FF"/>
        <w:sz w:val="18"/>
        <w:szCs w:val="18"/>
      </w:rPr>
      <w:t xml:space="preserve">Adresse du Musée : 16, rue Ivan </w:t>
    </w:r>
    <w:proofErr w:type="spellStart"/>
    <w:r>
      <w:rPr>
        <w:b w:val="0"/>
        <w:color w:val="0000FF"/>
        <w:sz w:val="18"/>
        <w:szCs w:val="18"/>
      </w:rPr>
      <w:t>Tourguéniev</w:t>
    </w:r>
    <w:proofErr w:type="spellEnd"/>
    <w:r>
      <w:rPr>
        <w:b w:val="0"/>
        <w:color w:val="0000FF"/>
        <w:sz w:val="18"/>
        <w:szCs w:val="18"/>
      </w:rPr>
      <w:t xml:space="preserve">  -  78380 Bougival</w:t>
    </w:r>
  </w:p>
  <w:p w:rsidR="0029064B" w:rsidRDefault="001621CA">
    <w:pPr>
      <w:pStyle w:val="Pieddepage"/>
      <w:jc w:val="center"/>
    </w:pPr>
    <w:r>
      <w:rPr>
        <w:b w:val="0"/>
        <w:color w:val="0000FF"/>
        <w:sz w:val="18"/>
        <w:szCs w:val="18"/>
        <w:u w:val="single"/>
      </w:rPr>
      <w:t>Tout courrier</w:t>
    </w:r>
    <w:r>
      <w:rPr>
        <w:b w:val="0"/>
        <w:color w:val="0000FF"/>
        <w:sz w:val="18"/>
        <w:szCs w:val="18"/>
      </w:rPr>
      <w:t xml:space="preserve"> est à adresser  au Siège.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CA" w:rsidRDefault="001621CA">
      <w:r>
        <w:rPr>
          <w:color w:val="000000"/>
        </w:rPr>
        <w:separator/>
      </w:r>
    </w:p>
  </w:footnote>
  <w:footnote w:type="continuationSeparator" w:id="0">
    <w:p w:rsidR="001621CA" w:rsidRDefault="0016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4B" w:rsidRDefault="001621CA">
    <w:pPr>
      <w:pStyle w:val="En-tte"/>
      <w:jc w:val="center"/>
      <w:rPr>
        <w:color w:val="0000FF"/>
        <w:sz w:val="20"/>
      </w:rPr>
    </w:pPr>
  </w:p>
  <w:p w:rsidR="0029064B" w:rsidRDefault="001621CA">
    <w:pPr>
      <w:pStyle w:val="En-tte"/>
      <w:jc w:val="center"/>
      <w:rPr>
        <w:color w:val="0000FF"/>
        <w:sz w:val="20"/>
      </w:rPr>
    </w:pPr>
    <w:r>
      <w:rPr>
        <w:color w:val="0000FF"/>
        <w:sz w:val="20"/>
      </w:rPr>
      <w:t>Association des Amis d’Ivan TOURGUÉNIEV, Pauline VIARDOT et Maria MALIBRAN</w:t>
    </w:r>
  </w:p>
  <w:p w:rsidR="0029064B" w:rsidRDefault="001621CA">
    <w:pPr>
      <w:pStyle w:val="En-tte"/>
      <w:jc w:val="center"/>
    </w:pPr>
    <w:r>
      <w:rPr>
        <w:color w:val="0000FF"/>
        <w:sz w:val="18"/>
        <w:szCs w:val="18"/>
      </w:rPr>
      <w:t xml:space="preserve">Siège : </w:t>
    </w:r>
    <w:r>
      <w:rPr>
        <w:b w:val="0"/>
        <w:color w:val="0000FF"/>
        <w:sz w:val="18"/>
        <w:szCs w:val="18"/>
      </w:rPr>
      <w:t>100 rue de Javel, 75015 PARIS    Tél. / Fax : 01</w:t>
    </w:r>
    <w:r>
      <w:rPr>
        <w:b w:val="0"/>
        <w:color w:val="0000FF"/>
        <w:sz w:val="18"/>
        <w:szCs w:val="18"/>
      </w:rPr>
      <w:t xml:space="preserve"> 45 77 87 12.</w:t>
    </w:r>
  </w:p>
  <w:p w:rsidR="0029064B" w:rsidRDefault="001621CA">
    <w:pPr>
      <w:pStyle w:val="En-tte"/>
    </w:pPr>
    <w:r>
      <w:rPr>
        <w:rFonts w:ascii="Lucida Sans" w:hAnsi="Lucida Sans" w:cs="Lucida Sans"/>
        <w:b w:val="0"/>
        <w:i/>
        <w:color w:val="0000FF"/>
        <w:sz w:val="20"/>
      </w:rPr>
      <w:t xml:space="preserve">   </w:t>
    </w:r>
    <w:r>
      <w:rPr>
        <w:b w:val="0"/>
        <w:color w:val="0000FF"/>
        <w:sz w:val="20"/>
      </w:rPr>
      <w:t xml:space="preserve">Courriel : </w:t>
    </w:r>
    <w:hyperlink r:id="rId1" w:history="1">
      <w:r>
        <w:rPr>
          <w:rStyle w:val="Internetlink"/>
        </w:rPr>
        <w:t>musee.tourgueniev@wanadoo.fr</w:t>
      </w:r>
    </w:hyperlink>
    <w:r>
      <w:rPr>
        <w:b w:val="0"/>
        <w:color w:val="0000FF"/>
        <w:sz w:val="20"/>
      </w:rPr>
      <w:t xml:space="preserve">                                 Site </w:t>
    </w:r>
    <w:proofErr w:type="gramStart"/>
    <w:r>
      <w:rPr>
        <w:b w:val="0"/>
        <w:color w:val="0000FF"/>
        <w:sz w:val="20"/>
      </w:rPr>
      <w:t>:</w:t>
    </w:r>
    <w:proofErr w:type="gramEnd"/>
    <w:hyperlink r:id="rId2" w:history="1">
      <w:r>
        <w:rPr>
          <w:rStyle w:val="Internetlink"/>
        </w:rPr>
        <w:t>www.tourgueniev</w:t>
      </w:r>
    </w:hyperlink>
    <w:r>
      <w:rPr>
        <w:color w:val="0000FF"/>
        <w:sz w:val="20"/>
        <w:u w:val="single"/>
      </w:rPr>
      <w:t>.fr</w:t>
    </w:r>
  </w:p>
  <w:p w:rsidR="0029064B" w:rsidRDefault="001621CA">
    <w:pPr>
      <w:pStyle w:val="En-tte"/>
      <w:jc w:val="center"/>
    </w:pPr>
    <w:r>
      <w:rPr>
        <w:b w:val="0"/>
        <w:color w:val="0000FF"/>
        <w:sz w:val="20"/>
      </w:rPr>
      <w:t xml:space="preserve">Membre de la </w:t>
    </w:r>
    <w:r>
      <w:rPr>
        <w:color w:val="0000FF"/>
        <w:sz w:val="20"/>
      </w:rPr>
      <w:t>F</w:t>
    </w:r>
    <w:r>
      <w:rPr>
        <w:b w:val="0"/>
        <w:color w:val="0000FF"/>
        <w:sz w:val="20"/>
      </w:rPr>
      <w:t xml:space="preserve">édération des </w:t>
    </w:r>
    <w:r>
      <w:rPr>
        <w:color w:val="0000FF"/>
        <w:sz w:val="20"/>
      </w:rPr>
      <w:t>m</w:t>
    </w:r>
    <w:r>
      <w:rPr>
        <w:b w:val="0"/>
        <w:color w:val="0000FF"/>
        <w:sz w:val="20"/>
      </w:rPr>
      <w:t>aisons d’</w:t>
    </w:r>
    <w:r>
      <w:rPr>
        <w:color w:val="0000FF"/>
        <w:sz w:val="20"/>
      </w:rPr>
      <w:t>é</w:t>
    </w:r>
    <w:r>
      <w:rPr>
        <w:b w:val="0"/>
        <w:color w:val="0000FF"/>
        <w:sz w:val="20"/>
      </w:rPr>
      <w:t>crivain &amp;</w:t>
    </w:r>
    <w:r>
      <w:rPr>
        <w:b w:val="0"/>
        <w:color w:val="0000FF"/>
        <w:sz w:val="20"/>
      </w:rPr>
      <w:t xml:space="preserve"> des patrimoines littéraires</w:t>
    </w:r>
  </w:p>
  <w:p w:rsidR="0029064B" w:rsidRDefault="001621CA">
    <w:pPr>
      <w:pStyle w:val="En-tte"/>
      <w:jc w:val="center"/>
    </w:pPr>
    <w:r>
      <w:rPr>
        <w:b w:val="0"/>
        <w:color w:val="0000FF"/>
        <w:sz w:val="20"/>
      </w:rPr>
      <w:t xml:space="preserve">Membre de la </w:t>
    </w:r>
    <w:r>
      <w:rPr>
        <w:color w:val="0000FF"/>
        <w:sz w:val="20"/>
      </w:rPr>
      <w:t>R</w:t>
    </w:r>
    <w:r>
      <w:rPr>
        <w:b w:val="0"/>
        <w:color w:val="0000FF"/>
        <w:sz w:val="20"/>
      </w:rPr>
      <w:t xml:space="preserve">oute </w:t>
    </w:r>
    <w:r>
      <w:rPr>
        <w:color w:val="0000FF"/>
        <w:sz w:val="20"/>
      </w:rPr>
      <w:t>H</w:t>
    </w:r>
    <w:r>
      <w:rPr>
        <w:b w:val="0"/>
        <w:color w:val="0000FF"/>
        <w:sz w:val="20"/>
      </w:rPr>
      <w:t xml:space="preserve">istorique des </w:t>
    </w:r>
    <w:r>
      <w:rPr>
        <w:color w:val="0000FF"/>
        <w:sz w:val="20"/>
      </w:rPr>
      <w:t>M</w:t>
    </w:r>
    <w:r>
      <w:rPr>
        <w:b w:val="0"/>
        <w:color w:val="0000FF"/>
        <w:sz w:val="20"/>
      </w:rPr>
      <w:t>aisons d’</w:t>
    </w:r>
    <w:r>
      <w:rPr>
        <w:color w:val="0000FF"/>
        <w:sz w:val="20"/>
      </w:rPr>
      <w:t>É</w:t>
    </w:r>
    <w:r>
      <w:rPr>
        <w:b w:val="0"/>
        <w:color w:val="0000FF"/>
        <w:sz w:val="20"/>
      </w:rPr>
      <w:t>crivains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4B98"/>
    <w:rsid w:val="001621CA"/>
    <w:rsid w:val="009F79D5"/>
    <w:rsid w:val="00C54B98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SimSun" w:hAnsi="Comic Sans M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Comic Sans MS"/>
      <w:b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SimSun" w:hAnsi="Comic Sans M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Comic Sans MS"/>
      <w:b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gueniev/" TargetMode="External"/><Relationship Id="rId1" Type="http://schemas.openxmlformats.org/officeDocument/2006/relationships/hyperlink" Target="mailto:musee.tourgueniev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SYLVETTE</cp:lastModifiedBy>
  <cp:revision>2</cp:revision>
  <cp:lastPrinted>2017-03-18T20:57:00Z</cp:lastPrinted>
  <dcterms:created xsi:type="dcterms:W3CDTF">2017-04-26T08:15:00Z</dcterms:created>
  <dcterms:modified xsi:type="dcterms:W3CDTF">2017-04-26T08:15:00Z</dcterms:modified>
</cp:coreProperties>
</file>